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4D02" w:rsidRPr="00F63AE6" w:rsidRDefault="00B34D02" w:rsidP="00F63AE6">
      <w:pPr>
        <w:jc w:val="center"/>
        <w:rPr>
          <w:rFonts w:ascii="Cambria" w:hAnsi="Cambria"/>
          <w:b/>
          <w:sz w:val="20"/>
          <w:szCs w:val="20"/>
        </w:rPr>
      </w:pPr>
    </w:p>
    <w:p w:rsidR="00F63AE6" w:rsidRDefault="00F63AE6" w:rsidP="00F63AE6">
      <w:pPr>
        <w:jc w:val="center"/>
        <w:rPr>
          <w:rFonts w:ascii="Cambria" w:hAnsi="Cambria"/>
          <w:b/>
          <w:sz w:val="20"/>
          <w:szCs w:val="20"/>
        </w:rPr>
      </w:pPr>
      <w:r w:rsidRPr="00F63AE6">
        <w:rPr>
          <w:rFonts w:ascii="Cambria" w:hAnsi="Cambria"/>
          <w:b/>
          <w:sz w:val="20"/>
          <w:szCs w:val="20"/>
        </w:rPr>
        <w:t xml:space="preserve">УВЕДОМЛЕНИЕ  </w:t>
      </w:r>
    </w:p>
    <w:p w:rsidR="00F63AE6" w:rsidRPr="00F63AE6" w:rsidRDefault="000636AA" w:rsidP="00F63AE6">
      <w:pPr>
        <w:jc w:val="center"/>
        <w:rPr>
          <w:rFonts w:ascii="Cambria" w:hAnsi="Cambria"/>
          <w:b/>
          <w:sz w:val="20"/>
          <w:szCs w:val="20"/>
        </w:rPr>
      </w:pPr>
      <w:r w:rsidRPr="00F63AE6">
        <w:rPr>
          <w:rFonts w:ascii="Cambria" w:hAnsi="Cambria"/>
          <w:b/>
          <w:sz w:val="20"/>
          <w:szCs w:val="20"/>
        </w:rPr>
        <w:t xml:space="preserve">о порядке учета денежных средств клиентов </w:t>
      </w:r>
      <w:r>
        <w:rPr>
          <w:rFonts w:ascii="Cambria" w:hAnsi="Cambria"/>
          <w:b/>
          <w:sz w:val="20"/>
          <w:szCs w:val="20"/>
        </w:rPr>
        <w:t>ООО «ИК «Гелиус Капитал»</w:t>
      </w:r>
      <w:r w:rsidRPr="00F63AE6">
        <w:rPr>
          <w:rFonts w:ascii="Cambria" w:hAnsi="Cambria"/>
          <w:b/>
          <w:sz w:val="20"/>
          <w:szCs w:val="20"/>
        </w:rPr>
        <w:t xml:space="preserve">,  о порядке учета </w:t>
      </w:r>
      <w:bookmarkStart w:id="0" w:name="_GoBack"/>
      <w:bookmarkEnd w:id="0"/>
      <w:r w:rsidRPr="00F63AE6">
        <w:rPr>
          <w:rFonts w:ascii="Cambria" w:hAnsi="Cambria"/>
          <w:b/>
          <w:sz w:val="20"/>
          <w:szCs w:val="20"/>
        </w:rPr>
        <w:t xml:space="preserve">имущества клиента, предоставленного в качестве обеспечения обязательств, допущенных к клирингу, и обязательств, возникших из договоров, заключенных </w:t>
      </w:r>
      <w:r>
        <w:rPr>
          <w:rFonts w:ascii="Cambria" w:hAnsi="Cambria"/>
          <w:b/>
          <w:sz w:val="20"/>
          <w:szCs w:val="20"/>
        </w:rPr>
        <w:t xml:space="preserve">ООО «ИК «Гелиус Капитал» </w:t>
      </w:r>
      <w:r w:rsidRPr="00F63AE6">
        <w:rPr>
          <w:rFonts w:ascii="Cambria" w:hAnsi="Cambria"/>
          <w:b/>
          <w:sz w:val="20"/>
          <w:szCs w:val="20"/>
        </w:rPr>
        <w:t>-</w:t>
      </w:r>
      <w:r>
        <w:rPr>
          <w:rFonts w:ascii="Cambria" w:hAnsi="Cambria"/>
          <w:b/>
          <w:sz w:val="20"/>
          <w:szCs w:val="20"/>
        </w:rPr>
        <w:t xml:space="preserve"> </w:t>
      </w:r>
      <w:r w:rsidRPr="00F63AE6">
        <w:rPr>
          <w:rFonts w:ascii="Cambria" w:hAnsi="Cambria"/>
          <w:b/>
          <w:sz w:val="20"/>
          <w:szCs w:val="20"/>
        </w:rPr>
        <w:t>участником клиринга за счет клиентов</w:t>
      </w:r>
    </w:p>
    <w:p w:rsidR="00F63AE6" w:rsidRPr="00F63AE6" w:rsidRDefault="00F63AE6" w:rsidP="00F63AE6">
      <w:pPr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 </w:t>
      </w:r>
    </w:p>
    <w:p w:rsidR="00F63AE6" w:rsidRPr="00F63AE6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1. Денежные средства клиента, переданные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 xml:space="preserve"> по договору о брокерском обслуживании</w:t>
      </w:r>
      <w:r>
        <w:rPr>
          <w:rFonts w:ascii="Cambria" w:hAnsi="Cambria"/>
          <w:sz w:val="20"/>
          <w:szCs w:val="20"/>
        </w:rPr>
        <w:t xml:space="preserve"> на рынке ценных бумаг</w:t>
      </w:r>
      <w:r w:rsidRPr="00F63AE6">
        <w:rPr>
          <w:rFonts w:ascii="Cambria" w:hAnsi="Cambria"/>
          <w:sz w:val="20"/>
          <w:szCs w:val="20"/>
        </w:rPr>
        <w:t xml:space="preserve"> для совершения сделок с ценными бумагами и (или) заключения договоров, являющихся производными финансовыми инструментами, а также денежные средства, полученные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 xml:space="preserve"> по таким сделкам и (или) таким договорам, которые совершены (заключены)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 xml:space="preserve"> на основании договоров с клиентами, будут находиться на специальном брокерском счете (счетах), открываемом (открываемых)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 xml:space="preserve"> в кредитной организации. </w:t>
      </w:r>
    </w:p>
    <w:p w:rsidR="00F63AE6" w:rsidRPr="00F63AE6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 </w:t>
      </w:r>
    </w:p>
    <w:p w:rsidR="00F63AE6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2. Денежные средства клиента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 xml:space="preserve"> по договору о брокерском обслуживании будут учитываться на специальных брокерских счетах вместе со средствами других клиентов. </w:t>
      </w:r>
    </w:p>
    <w:p w:rsidR="00F63AE6" w:rsidRDefault="00F63AE6" w:rsidP="00F63AE6">
      <w:pPr>
        <w:jc w:val="both"/>
        <w:rPr>
          <w:rFonts w:ascii="Cambria" w:hAnsi="Cambria"/>
          <w:sz w:val="20"/>
          <w:szCs w:val="20"/>
        </w:rPr>
      </w:pPr>
    </w:p>
    <w:p w:rsidR="00F63AE6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При учете средств клиента на одном банковском счете со средствами других клиентов в случае сбоев в учетной системе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 xml:space="preserve"> может возникнуть риск задержки операций с денежными средствами клиента вследствие необходимости восстановления учетных данных. </w:t>
      </w:r>
    </w:p>
    <w:p w:rsidR="00F63AE6" w:rsidRDefault="00F63AE6" w:rsidP="00F63AE6">
      <w:pPr>
        <w:jc w:val="both"/>
        <w:rPr>
          <w:rFonts w:ascii="Cambria" w:hAnsi="Cambria"/>
          <w:sz w:val="20"/>
          <w:szCs w:val="20"/>
        </w:rPr>
      </w:pPr>
    </w:p>
    <w:p w:rsidR="00F63AE6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Для клиентов, в отношении которых нормативными правовыми актами не установлено требование об отдельном учете денежных средств, передаваемых ими брокеру, по требованию клиента может быть открыт отдельный специальный брокерский счет на условиях, предусмотренных в дополнительных соглашениях. </w:t>
      </w:r>
    </w:p>
    <w:p w:rsidR="00F63AE6" w:rsidRDefault="00F63AE6" w:rsidP="00F63AE6">
      <w:pPr>
        <w:jc w:val="both"/>
        <w:rPr>
          <w:rFonts w:ascii="Cambria" w:hAnsi="Cambria"/>
          <w:sz w:val="20"/>
          <w:szCs w:val="20"/>
        </w:rPr>
      </w:pPr>
    </w:p>
    <w:p w:rsidR="00F63AE6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Заключение дополнительных соглашений является дополнительным условием оказания услуг по учету денежных средств клиента на отдельном брокерском счете в кредитной организации. </w:t>
      </w:r>
    </w:p>
    <w:p w:rsidR="00F63AE6" w:rsidRDefault="00F63AE6" w:rsidP="00F63AE6">
      <w:pPr>
        <w:jc w:val="both"/>
        <w:rPr>
          <w:rFonts w:ascii="Cambria" w:hAnsi="Cambria"/>
          <w:sz w:val="20"/>
          <w:szCs w:val="20"/>
        </w:rPr>
      </w:pPr>
    </w:p>
    <w:p w:rsidR="00F63AE6" w:rsidRPr="00F63AE6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Плата за услуги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 xml:space="preserve"> по открытию и использованию отдельного специального брокерского счета не взимается с клиентов, если требование об отдельном учете принадлежащих им денежных средств установлено правовыми актами РФ. </w:t>
      </w:r>
    </w:p>
    <w:p w:rsidR="00F63AE6" w:rsidRPr="00F63AE6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 </w:t>
      </w:r>
    </w:p>
    <w:p w:rsidR="00F63AE6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3. Имущество клиента, предоставленное в качестве обеспечения обязательств, допущенных к клирингу, и обязательства, возникшие из договоров, заключенных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 xml:space="preserve"> за счет клиента, будут учитываться совместно с имуществом других клиентов и обязательствами </w:t>
      </w:r>
      <w:r>
        <w:rPr>
          <w:rFonts w:ascii="Cambria" w:hAnsi="Cambria"/>
          <w:sz w:val="20"/>
          <w:szCs w:val="20"/>
        </w:rPr>
        <w:t xml:space="preserve">ООО «ИК «Гелиус Капитал» </w:t>
      </w:r>
      <w:r w:rsidRPr="00F63AE6">
        <w:rPr>
          <w:rFonts w:ascii="Cambria" w:hAnsi="Cambria"/>
          <w:sz w:val="20"/>
          <w:szCs w:val="20"/>
        </w:rPr>
        <w:t>-</w:t>
      </w:r>
      <w:r>
        <w:rPr>
          <w:rFonts w:ascii="Cambria" w:hAnsi="Cambria"/>
          <w:sz w:val="20"/>
          <w:szCs w:val="20"/>
        </w:rPr>
        <w:t xml:space="preserve"> </w:t>
      </w:r>
      <w:r w:rsidRPr="00F63AE6">
        <w:rPr>
          <w:rFonts w:ascii="Cambria" w:hAnsi="Cambria"/>
          <w:sz w:val="20"/>
          <w:szCs w:val="20"/>
        </w:rPr>
        <w:t xml:space="preserve">участника клиринга, возникшими из договоров, заключенных за счет других клиентов. </w:t>
      </w:r>
    </w:p>
    <w:p w:rsidR="00F63AE6" w:rsidRDefault="00F63AE6" w:rsidP="00F63AE6">
      <w:pPr>
        <w:jc w:val="both"/>
        <w:rPr>
          <w:rFonts w:ascii="Cambria" w:hAnsi="Cambria"/>
          <w:sz w:val="20"/>
          <w:szCs w:val="20"/>
        </w:rPr>
      </w:pPr>
    </w:p>
    <w:p w:rsidR="00F63AE6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При учете указанных в настоящем пункте имущества и обязательств совместно с имуществом других клиентов и обязательствами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 xml:space="preserve">, возникшими из договоров, заключенных за счет других клиентов, существуют риски несвоевременного и / или неполного исполнения операций с имуществом клиента или несвоевременного и / или неполного исполнения обязательств. </w:t>
      </w:r>
    </w:p>
    <w:p w:rsidR="00F63AE6" w:rsidRDefault="00F63AE6" w:rsidP="00F63AE6">
      <w:pPr>
        <w:jc w:val="both"/>
        <w:rPr>
          <w:rFonts w:ascii="Cambria" w:hAnsi="Cambria"/>
          <w:sz w:val="20"/>
          <w:szCs w:val="20"/>
        </w:rPr>
      </w:pPr>
    </w:p>
    <w:p w:rsidR="00F63AE6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Также при совместном учете имущества и обязательств существует риск частичной или полной утраты имущества клиента. Причины утраты включают, но не ограничиваются, потенциальной неплатежеспособностью контрагентов или клиентов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 xml:space="preserve"> или же самой компании, а также изменениями в регулировании рынка ценных бумаг и связанном с ним регулировании, в том числе регулировании деятельности профессиональных участников рынка ценных бумаг.  </w:t>
      </w:r>
    </w:p>
    <w:p w:rsidR="00F63AE6" w:rsidRDefault="00F63AE6" w:rsidP="00F63AE6">
      <w:pPr>
        <w:jc w:val="both"/>
        <w:rPr>
          <w:rFonts w:ascii="Cambria" w:hAnsi="Cambria"/>
          <w:sz w:val="20"/>
          <w:szCs w:val="20"/>
        </w:rPr>
      </w:pPr>
    </w:p>
    <w:p w:rsidR="00F63AE6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По требованию клиента может осуществляться отдельный учет имущества клиента, предоставленного в качестве обеспечения, и обязательств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 xml:space="preserve">, возникших из договоров, заключенных за счет клиента на условиях, предусмотренных в дополнительных соглашениях. </w:t>
      </w:r>
    </w:p>
    <w:p w:rsidR="00F63AE6" w:rsidRPr="00F63AE6" w:rsidRDefault="00F63AE6" w:rsidP="00F63AE6">
      <w:pPr>
        <w:jc w:val="both"/>
        <w:rPr>
          <w:rFonts w:ascii="Cambria" w:hAnsi="Cambria"/>
          <w:sz w:val="20"/>
          <w:szCs w:val="20"/>
        </w:rPr>
      </w:pPr>
    </w:p>
    <w:p w:rsidR="00F63AE6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Заключение дополнительных соглашений является дополнительным условием оказания услуг по отдельному учету имущества клиента, предоставленного в качестве обеспечения, и обязательств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 xml:space="preserve">, возникших из договоров, заключенных за счет клиента в клиринговой организации.  </w:t>
      </w:r>
    </w:p>
    <w:p w:rsidR="00F63AE6" w:rsidRDefault="00F63AE6" w:rsidP="00F63AE6">
      <w:pPr>
        <w:jc w:val="both"/>
        <w:rPr>
          <w:rFonts w:ascii="Cambria" w:hAnsi="Cambria"/>
          <w:sz w:val="20"/>
          <w:szCs w:val="20"/>
        </w:rPr>
      </w:pPr>
    </w:p>
    <w:p w:rsidR="00F63AE6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lastRenderedPageBreak/>
        <w:t xml:space="preserve">Плата за услуги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 xml:space="preserve"> по отдельному учету указанных в настоящем пункте имущества и обязательств не взимается с клиентов, если требование об отдельном учете указанных в настоящем пункте имущества и обязательств установлено правовыми актами РФ. </w:t>
      </w:r>
    </w:p>
    <w:p w:rsidR="00F63AE6" w:rsidRDefault="00F63AE6" w:rsidP="00F63AE6">
      <w:pPr>
        <w:jc w:val="both"/>
        <w:rPr>
          <w:rFonts w:ascii="Cambria" w:hAnsi="Cambria"/>
          <w:sz w:val="20"/>
          <w:szCs w:val="20"/>
        </w:rPr>
      </w:pPr>
    </w:p>
    <w:p w:rsidR="00F63AE6" w:rsidRPr="00F63AE6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Учет имущества клиента, предоставленного в качестве обеспечения, и обязательств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 xml:space="preserve">, возникших из договоров, заключенных за счет клиента, осуществляется клиринговой организацией в соответствии с правилами клиринга. </w:t>
      </w:r>
    </w:p>
    <w:p w:rsidR="00F63AE6" w:rsidRPr="00F63AE6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 </w:t>
      </w:r>
    </w:p>
    <w:p w:rsidR="00F63AE6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4.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 xml:space="preserve"> осуществляет внутренний учет денежных средств каждого клиента в следующем порядке:</w:t>
      </w:r>
    </w:p>
    <w:p w:rsidR="00F63AE6" w:rsidRPr="00F63AE6" w:rsidRDefault="00F63AE6" w:rsidP="00F63AE6">
      <w:pPr>
        <w:pStyle w:val="af"/>
        <w:numPr>
          <w:ilvl w:val="0"/>
          <w:numId w:val="1"/>
        </w:num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 w:cs="Cambria"/>
          <w:sz w:val="20"/>
          <w:szCs w:val="20"/>
        </w:rPr>
        <w:t xml:space="preserve">денежные средства каждого клиента учитываются отдельно от денежных средств других клиентов и денежных средств </w:t>
      </w:r>
      <w:r w:rsidRPr="00F63AE6"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 w:cs="Cambria"/>
          <w:sz w:val="20"/>
          <w:szCs w:val="20"/>
        </w:rPr>
        <w:t>;</w:t>
      </w:r>
    </w:p>
    <w:p w:rsidR="00F63AE6" w:rsidRDefault="00F63AE6" w:rsidP="00F63AE6">
      <w:pPr>
        <w:pStyle w:val="af"/>
        <w:numPr>
          <w:ilvl w:val="0"/>
          <w:numId w:val="1"/>
        </w:num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 w:cs="Cambria"/>
          <w:sz w:val="20"/>
          <w:szCs w:val="20"/>
        </w:rPr>
        <w:t>каждому клиенту в системе внутреннего учета присваиваетс</w:t>
      </w:r>
      <w:r w:rsidRPr="00F63AE6">
        <w:rPr>
          <w:rFonts w:ascii="Cambria" w:hAnsi="Cambria"/>
          <w:sz w:val="20"/>
          <w:szCs w:val="20"/>
        </w:rPr>
        <w:t xml:space="preserve">я индивидуальный </w:t>
      </w:r>
      <w:r>
        <w:rPr>
          <w:rFonts w:ascii="Cambria" w:hAnsi="Cambria"/>
          <w:sz w:val="20"/>
          <w:szCs w:val="20"/>
        </w:rPr>
        <w:t>код (</w:t>
      </w:r>
      <w:r w:rsidRPr="00F63AE6">
        <w:rPr>
          <w:rFonts w:ascii="Cambria" w:hAnsi="Cambria"/>
          <w:sz w:val="20"/>
          <w:szCs w:val="20"/>
        </w:rPr>
        <w:t>номер</w:t>
      </w:r>
      <w:r>
        <w:rPr>
          <w:rFonts w:ascii="Cambria" w:hAnsi="Cambria"/>
          <w:sz w:val="20"/>
          <w:szCs w:val="20"/>
        </w:rPr>
        <w:t>)</w:t>
      </w:r>
      <w:r w:rsidRPr="00F63AE6">
        <w:rPr>
          <w:rFonts w:ascii="Cambria" w:hAnsi="Cambria"/>
          <w:sz w:val="20"/>
          <w:szCs w:val="20"/>
        </w:rPr>
        <w:t>;</w:t>
      </w:r>
    </w:p>
    <w:p w:rsidR="00F63AE6" w:rsidRPr="00F63AE6" w:rsidRDefault="00F63AE6" w:rsidP="00F63AE6">
      <w:pPr>
        <w:pStyle w:val="af"/>
        <w:numPr>
          <w:ilvl w:val="0"/>
          <w:numId w:val="1"/>
        </w:num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 w:cs="Cambria"/>
          <w:sz w:val="20"/>
          <w:szCs w:val="20"/>
        </w:rPr>
        <w:t xml:space="preserve">учет денежных средств ведется обособленно по каждому </w:t>
      </w:r>
      <w:r>
        <w:rPr>
          <w:rFonts w:ascii="Cambria" w:hAnsi="Cambria" w:cs="Cambria"/>
          <w:sz w:val="20"/>
          <w:szCs w:val="20"/>
        </w:rPr>
        <w:t>договору о брокерском обслуживании на рынке ценных бумаг</w:t>
      </w:r>
      <w:r w:rsidRPr="00F63AE6">
        <w:rPr>
          <w:rFonts w:ascii="Cambria" w:hAnsi="Cambria" w:cs="Cambria"/>
          <w:sz w:val="20"/>
          <w:szCs w:val="20"/>
        </w:rPr>
        <w:t xml:space="preserve">, на основании которого денежные средства переданы в </w:t>
      </w:r>
      <w:r w:rsidRPr="00F63AE6"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 w:cs="Cambria"/>
          <w:sz w:val="20"/>
          <w:szCs w:val="20"/>
        </w:rPr>
        <w:t xml:space="preserve">, а также в отношении каждого специального брокерского или иного счета </w:t>
      </w:r>
      <w:r w:rsidRPr="00F63AE6"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 w:cs="Cambria"/>
          <w:sz w:val="20"/>
          <w:szCs w:val="20"/>
        </w:rPr>
        <w:t>, на который зачисляютс</w:t>
      </w:r>
      <w:r w:rsidRPr="00F63AE6">
        <w:rPr>
          <w:rFonts w:ascii="Cambria" w:hAnsi="Cambria"/>
          <w:sz w:val="20"/>
          <w:szCs w:val="20"/>
        </w:rPr>
        <w:t xml:space="preserve">я денежные средства. </w:t>
      </w:r>
    </w:p>
    <w:p w:rsidR="00F63AE6" w:rsidRPr="00F63AE6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 </w:t>
      </w:r>
    </w:p>
    <w:p w:rsidR="00F63AE6" w:rsidRPr="00F63AE6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5.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 xml:space="preserve"> предоставляет клиентам отчеты в порядке, установленном договорами о брокерском обслуживании</w:t>
      </w:r>
      <w:r w:rsidR="000636AA">
        <w:rPr>
          <w:rFonts w:ascii="Cambria" w:hAnsi="Cambria"/>
          <w:sz w:val="20"/>
          <w:szCs w:val="20"/>
        </w:rPr>
        <w:t xml:space="preserve"> на рынке ценных бумаг</w:t>
      </w:r>
      <w:r w:rsidRPr="00F63AE6">
        <w:rPr>
          <w:rFonts w:ascii="Cambria" w:hAnsi="Cambria"/>
          <w:sz w:val="20"/>
          <w:szCs w:val="20"/>
        </w:rPr>
        <w:t xml:space="preserve">. </w:t>
      </w:r>
    </w:p>
    <w:p w:rsidR="00F63AE6" w:rsidRPr="00F63AE6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 </w:t>
      </w:r>
    </w:p>
    <w:p w:rsidR="00F63AE6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>6. Если иное не установлено законодательством Российской Федерации</w:t>
      </w:r>
      <w:r>
        <w:rPr>
          <w:rFonts w:ascii="Cambria" w:hAnsi="Cambria"/>
          <w:sz w:val="20"/>
          <w:szCs w:val="20"/>
        </w:rPr>
        <w:t xml:space="preserve"> и/или договором о брокерском обслуживании на рынке ценных бумаг</w:t>
      </w:r>
      <w:r w:rsidRPr="00F63AE6">
        <w:rPr>
          <w:rFonts w:ascii="Cambria" w:hAnsi="Cambria"/>
          <w:sz w:val="20"/>
          <w:szCs w:val="20"/>
        </w:rPr>
        <w:t xml:space="preserve">,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 xml:space="preserve"> вправе использовать переданные ему денежные средства клиентов, гарантируя исполнение поручений и распоряжений клиентов, которые должны быть исполнены за счет используемых денежных средств. </w:t>
      </w:r>
    </w:p>
    <w:p w:rsidR="000636AA" w:rsidRDefault="000636AA" w:rsidP="00F63AE6">
      <w:pPr>
        <w:jc w:val="both"/>
        <w:rPr>
          <w:rFonts w:ascii="Cambria" w:hAnsi="Cambria"/>
          <w:sz w:val="20"/>
          <w:szCs w:val="20"/>
        </w:rPr>
      </w:pPr>
    </w:p>
    <w:p w:rsidR="000636AA" w:rsidRDefault="00F63AE6" w:rsidP="00F63AE6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ООО «ИК «Гелиус Капитал» </w:t>
      </w:r>
      <w:r w:rsidRPr="00F63AE6">
        <w:rPr>
          <w:rFonts w:ascii="Cambria" w:hAnsi="Cambria"/>
          <w:sz w:val="20"/>
          <w:szCs w:val="20"/>
        </w:rPr>
        <w:t xml:space="preserve">определяет сроки использования свободных денежных средств по своему усмотрению.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 xml:space="preserve"> использует переданные ему денежные средства клиентов на условиях безвозмездности. Денежные средства клиента, используемые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 xml:space="preserve">, могут перечисляться на счета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 xml:space="preserve">, предназначенные для учета собственных денежных средств. </w:t>
      </w:r>
    </w:p>
    <w:p w:rsidR="000636AA" w:rsidRDefault="000636AA" w:rsidP="00F63AE6">
      <w:pPr>
        <w:jc w:val="both"/>
        <w:rPr>
          <w:rFonts w:ascii="Cambria" w:hAnsi="Cambria"/>
          <w:sz w:val="20"/>
          <w:szCs w:val="20"/>
        </w:rPr>
      </w:pPr>
    </w:p>
    <w:p w:rsidR="000636AA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Возврат денежных средств осуществляется путем их перевода на специальные брокерские счета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 xml:space="preserve">. </w:t>
      </w:r>
    </w:p>
    <w:p w:rsidR="000636AA" w:rsidRDefault="000636AA" w:rsidP="00F63AE6">
      <w:pPr>
        <w:jc w:val="both"/>
        <w:rPr>
          <w:rFonts w:ascii="Cambria" w:hAnsi="Cambria"/>
          <w:sz w:val="20"/>
          <w:szCs w:val="20"/>
        </w:rPr>
      </w:pPr>
    </w:p>
    <w:p w:rsidR="00B34D02" w:rsidRDefault="00F63AE6" w:rsidP="00F63AE6">
      <w:pPr>
        <w:jc w:val="both"/>
        <w:rPr>
          <w:rFonts w:ascii="Cambria" w:hAnsi="Cambria"/>
          <w:sz w:val="20"/>
          <w:szCs w:val="20"/>
        </w:rPr>
      </w:pPr>
      <w:r w:rsidRPr="00F63AE6">
        <w:rPr>
          <w:rFonts w:ascii="Cambria" w:hAnsi="Cambria"/>
          <w:sz w:val="20"/>
          <w:szCs w:val="20"/>
        </w:rPr>
        <w:t xml:space="preserve">Использование денежных средств клиента может привести к риску просрочки их возврата вследствие недостачи денежных средств на банковском счете </w:t>
      </w:r>
      <w:r>
        <w:rPr>
          <w:rFonts w:ascii="Cambria" w:hAnsi="Cambria"/>
          <w:sz w:val="20"/>
          <w:szCs w:val="20"/>
        </w:rPr>
        <w:t>ООО «ИК «Гелиус Капитал»</w:t>
      </w:r>
      <w:r w:rsidRPr="00F63AE6">
        <w:rPr>
          <w:rFonts w:ascii="Cambria" w:hAnsi="Cambria"/>
          <w:sz w:val="20"/>
          <w:szCs w:val="20"/>
        </w:rPr>
        <w:t>, предназначенном для учета собственных денежных средств.</w:t>
      </w:r>
    </w:p>
    <w:sectPr w:rsidR="00B34D02" w:rsidSect="00B305BD">
      <w:headerReference w:type="default" r:id="rId8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3AE6" w:rsidRDefault="00F63AE6" w:rsidP="00CE5AF5">
      <w:r>
        <w:separator/>
      </w:r>
    </w:p>
  </w:endnote>
  <w:endnote w:type="continuationSeparator" w:id="0">
    <w:p w:rsidR="00F63AE6" w:rsidRDefault="00F63AE6" w:rsidP="00CE5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3AE6" w:rsidRDefault="00F63AE6" w:rsidP="00CE5AF5">
      <w:r>
        <w:separator/>
      </w:r>
    </w:p>
  </w:footnote>
  <w:footnote w:type="continuationSeparator" w:id="0">
    <w:p w:rsidR="00F63AE6" w:rsidRDefault="00F63AE6" w:rsidP="00CE5A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3AE6" w:rsidRPr="009C20AA" w:rsidRDefault="00F63AE6" w:rsidP="008A40FA">
    <w:pPr>
      <w:pStyle w:val="a5"/>
      <w:tabs>
        <w:tab w:val="clear" w:pos="4677"/>
        <w:tab w:val="clear" w:pos="9355"/>
      </w:tabs>
      <w:jc w:val="right"/>
      <w:rPr>
        <w:rFonts w:ascii="Cambria" w:hAnsi="Cambria"/>
        <w:sz w:val="16"/>
        <w:szCs w:val="16"/>
      </w:rPr>
    </w:pPr>
    <w:r w:rsidRPr="009C20AA">
      <w:rPr>
        <w:rFonts w:ascii="Cambria" w:hAnsi="Cambria" w:cs="Arial"/>
        <w:sz w:val="16"/>
        <w:szCs w:val="16"/>
      </w:rPr>
      <w:t>Приложение №</w:t>
    </w:r>
    <w:r>
      <w:rPr>
        <w:rFonts w:ascii="Cambria" w:hAnsi="Cambria" w:cs="Arial"/>
        <w:sz w:val="16"/>
        <w:szCs w:val="16"/>
      </w:rPr>
      <w:t>9</w:t>
    </w:r>
    <w:r w:rsidRPr="009C20AA">
      <w:rPr>
        <w:rFonts w:ascii="Cambria" w:hAnsi="Cambria" w:cs="Arial"/>
        <w:sz w:val="16"/>
        <w:szCs w:val="16"/>
      </w:rPr>
      <w:t xml:space="preserve"> к </w:t>
    </w:r>
    <w:r w:rsidR="00490E11" w:rsidRPr="00CF679E">
      <w:rPr>
        <w:rFonts w:ascii="Cambria" w:hAnsi="Cambria"/>
        <w:sz w:val="16"/>
        <w:szCs w:val="16"/>
      </w:rPr>
      <w:t>Регламенту оказания</w:t>
    </w:r>
    <w:r w:rsidR="00490E11">
      <w:rPr>
        <w:rFonts w:ascii="Cambria" w:hAnsi="Cambria"/>
        <w:sz w:val="16"/>
        <w:szCs w:val="16"/>
      </w:rPr>
      <w:t xml:space="preserve"> брокерских услуг</w:t>
    </w:r>
    <w:r w:rsidR="00490E11" w:rsidRPr="00CF679E">
      <w:rPr>
        <w:rFonts w:ascii="Cambria" w:hAnsi="Cambria"/>
        <w:sz w:val="16"/>
        <w:szCs w:val="16"/>
      </w:rPr>
      <w:t xml:space="preserve"> ООО «ИК «Гелиус Капитал»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843EAB"/>
    <w:multiLevelType w:val="hybridMultilevel"/>
    <w:tmpl w:val="F030E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59D6"/>
    <w:rsid w:val="0000364A"/>
    <w:rsid w:val="00013E80"/>
    <w:rsid w:val="00020209"/>
    <w:rsid w:val="0002079C"/>
    <w:rsid w:val="000636AA"/>
    <w:rsid w:val="0007354D"/>
    <w:rsid w:val="000B20F6"/>
    <w:rsid w:val="000E5D48"/>
    <w:rsid w:val="00127F51"/>
    <w:rsid w:val="00162512"/>
    <w:rsid w:val="001905C2"/>
    <w:rsid w:val="001A45F7"/>
    <w:rsid w:val="001F68F9"/>
    <w:rsid w:val="002C6D56"/>
    <w:rsid w:val="002D52D6"/>
    <w:rsid w:val="00327B41"/>
    <w:rsid w:val="00350511"/>
    <w:rsid w:val="00351D33"/>
    <w:rsid w:val="003D786F"/>
    <w:rsid w:val="00463BB0"/>
    <w:rsid w:val="00490E11"/>
    <w:rsid w:val="004A56EF"/>
    <w:rsid w:val="004E7667"/>
    <w:rsid w:val="005205F9"/>
    <w:rsid w:val="00554BE2"/>
    <w:rsid w:val="006A5D70"/>
    <w:rsid w:val="006B170E"/>
    <w:rsid w:val="006B7FFE"/>
    <w:rsid w:val="007E35C5"/>
    <w:rsid w:val="007F6984"/>
    <w:rsid w:val="00821C02"/>
    <w:rsid w:val="00845F94"/>
    <w:rsid w:val="008A40FA"/>
    <w:rsid w:val="008C5615"/>
    <w:rsid w:val="0092736A"/>
    <w:rsid w:val="009342B5"/>
    <w:rsid w:val="00947ABA"/>
    <w:rsid w:val="00974FE1"/>
    <w:rsid w:val="009C20AA"/>
    <w:rsid w:val="009C31C3"/>
    <w:rsid w:val="009C59D6"/>
    <w:rsid w:val="009E0C5A"/>
    <w:rsid w:val="00A3355C"/>
    <w:rsid w:val="00AD692D"/>
    <w:rsid w:val="00AD7C9E"/>
    <w:rsid w:val="00AE4EB2"/>
    <w:rsid w:val="00B305BD"/>
    <w:rsid w:val="00B34D02"/>
    <w:rsid w:val="00B93B76"/>
    <w:rsid w:val="00BA6DED"/>
    <w:rsid w:val="00BB4B3B"/>
    <w:rsid w:val="00C15EDA"/>
    <w:rsid w:val="00CE5AF5"/>
    <w:rsid w:val="00CE5E5C"/>
    <w:rsid w:val="00D262C1"/>
    <w:rsid w:val="00D726A3"/>
    <w:rsid w:val="00D7481B"/>
    <w:rsid w:val="00DC2075"/>
    <w:rsid w:val="00DF49F2"/>
    <w:rsid w:val="00E02DD4"/>
    <w:rsid w:val="00E230BC"/>
    <w:rsid w:val="00EA7C15"/>
    <w:rsid w:val="00F01DC0"/>
    <w:rsid w:val="00F63A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8792B02-2BCD-435B-B065-D4DFC867A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5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9C59D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rsid w:val="009C5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nhideWhenUsed/>
    <w:rsid w:val="00CE5A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5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E5A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5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5205F9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205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5205F9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5205F9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205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5205F9"/>
    <w:rPr>
      <w:vertAlign w:val="superscript"/>
    </w:rPr>
  </w:style>
  <w:style w:type="paragraph" w:styleId="af">
    <w:name w:val="List Paragraph"/>
    <w:basedOn w:val="a"/>
    <w:uiPriority w:val="34"/>
    <w:qFormat/>
    <w:rsid w:val="00F63A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3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E4583-177B-4282-90A5-72D03BBFD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926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Ковырова</cp:lastModifiedBy>
  <cp:revision>3</cp:revision>
  <dcterms:created xsi:type="dcterms:W3CDTF">2016-11-16T10:41:00Z</dcterms:created>
  <dcterms:modified xsi:type="dcterms:W3CDTF">2017-09-08T04:44:00Z</dcterms:modified>
</cp:coreProperties>
</file>